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>3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AF6BEE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3 and worth 30 points</w:t>
      </w:r>
    </w:p>
    <w:p w:rsidR="007D2BE4" w:rsidRPr="00DA4EE2" w:rsidRDefault="007D2BE4" w:rsidP="007D2BE4">
      <w:pPr>
        <w:pStyle w:val="ParaNumbered"/>
        <w:spacing w:before="60" w:after="60"/>
        <w:ind w:firstLine="0"/>
        <w:rPr>
          <w:rFonts w:ascii="Arial" w:hAnsi="Arial" w:cs="Arial"/>
          <w:sz w:val="20"/>
        </w:rPr>
      </w:pPr>
    </w:p>
    <w:p w:rsidR="007D2BE4" w:rsidRDefault="007D2BE4" w:rsidP="007D2BE4">
      <w:pPr>
        <w:pStyle w:val="TableCaption"/>
        <w:spacing w:before="60" w:after="60"/>
        <w:rPr>
          <w:rFonts w:cs="Arial"/>
          <w:b w:val="0"/>
          <w:sz w:val="20"/>
        </w:rPr>
      </w:pPr>
      <w:r w:rsidRPr="00AF1C45">
        <w:rPr>
          <w:rFonts w:cs="Arial"/>
          <w:b w:val="0"/>
          <w:sz w:val="20"/>
        </w:rPr>
        <w:t xml:space="preserve">The </w:t>
      </w:r>
      <w:r>
        <w:rPr>
          <w:rFonts w:cs="Arial"/>
          <w:b w:val="0"/>
          <w:sz w:val="20"/>
        </w:rPr>
        <w:t xml:space="preserve">following </w:t>
      </w:r>
      <w:r w:rsidRPr="00AF1C45">
        <w:rPr>
          <w:rFonts w:cs="Arial"/>
          <w:b w:val="0"/>
          <w:sz w:val="20"/>
        </w:rPr>
        <w:t>data consist</w:t>
      </w:r>
      <w:r>
        <w:rPr>
          <w:rFonts w:cs="Arial"/>
          <w:b w:val="0"/>
          <w:sz w:val="20"/>
        </w:rPr>
        <w:t>s</w:t>
      </w:r>
      <w:r w:rsidRPr="00AF1C45">
        <w:rPr>
          <w:rFonts w:cs="Arial"/>
          <w:b w:val="0"/>
          <w:sz w:val="20"/>
        </w:rPr>
        <w:t xml:space="preserve"> of the actual time used and potential (the best time possible for this review process)</w:t>
      </w:r>
      <w:r>
        <w:rPr>
          <w:rFonts w:cs="Arial"/>
          <w:b w:val="0"/>
          <w:sz w:val="20"/>
        </w:rPr>
        <w:t xml:space="preserve"> </w:t>
      </w:r>
      <w:r w:rsidRPr="00AF1C45">
        <w:rPr>
          <w:rFonts w:cs="Arial"/>
          <w:b w:val="0"/>
          <w:sz w:val="20"/>
        </w:rPr>
        <w:t>to complete each step in the review process. The actual times are based on the review of 30 projects. The potential times are subjective engineering judgment estimates.</w:t>
      </w:r>
    </w:p>
    <w:p w:rsidR="00F333E9" w:rsidRDefault="00F333E9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EA1B6D" w:rsidRPr="00AF1C45" w:rsidRDefault="00EA1B6D" w:rsidP="00EA1B6D">
      <w:pPr>
        <w:pStyle w:val="TableCaption"/>
        <w:spacing w:before="60" w:after="60"/>
        <w:rPr>
          <w:rFonts w:cs="Arial"/>
          <w:b w:val="0"/>
          <w:sz w:val="20"/>
        </w:rPr>
      </w:pPr>
      <w:r w:rsidRPr="00AF1C45">
        <w:rPr>
          <w:rFonts w:cs="Arial"/>
          <w:b w:val="0"/>
          <w:sz w:val="20"/>
        </w:rPr>
        <w:t>Table: Basic Data Review for Construction Project Equipment Arrangement</w:t>
      </w:r>
    </w:p>
    <w:tbl>
      <w:tblPr>
        <w:tblW w:w="8856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853"/>
        <w:gridCol w:w="4229"/>
        <w:gridCol w:w="1011"/>
        <w:gridCol w:w="1421"/>
        <w:gridCol w:w="1342"/>
      </w:tblGrid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  <w:u w:val="single"/>
              </w:rPr>
            </w:pP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Cycle Time (hours)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Head"/>
              <w:spacing w:before="60" w:after="60"/>
              <w:rPr>
                <w:rFonts w:cs="Arial"/>
                <w:sz w:val="20"/>
              </w:rPr>
            </w:pP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Step 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Description 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Actual 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 xml:space="preserve">Potential 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b/>
                <w:bCs/>
                <w:sz w:val="20"/>
                <w:u w:val="single"/>
              </w:rPr>
            </w:pPr>
            <w:r w:rsidRPr="00DA4EE2">
              <w:rPr>
                <w:rFonts w:cs="Arial"/>
                <w:b/>
                <w:bCs/>
                <w:sz w:val="20"/>
                <w:u w:val="single"/>
              </w:rPr>
              <w:t>Difference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Read basic data package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cover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21.9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0.5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21.4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3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Queue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40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40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Lead engineer calls key people to schedule meeting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0.25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3.75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5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confirmation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25.4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2.1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23.3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6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Hold meeting; develop path forward and concerns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7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Project leader and specialist develop missing information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8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Determine plant preferred vendors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9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Review notes from meeting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12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—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Resolve open issues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106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104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11</w:t>
            </w: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Write, type, proof, sign, copy, and distribute basic data acceptance letter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26.5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0.25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  <w:u w:val="single"/>
              </w:rPr>
            </w:pPr>
            <w:r w:rsidRPr="00DA4EE2">
              <w:rPr>
                <w:rFonts w:cs="Arial"/>
                <w:sz w:val="20"/>
                <w:u w:val="single"/>
              </w:rPr>
              <w:t>26.25</w:t>
            </w:r>
          </w:p>
        </w:tc>
      </w:tr>
      <w:tr w:rsidR="00EA1B6D" w:rsidRPr="00DA4EE2" w:rsidTr="001977CB">
        <w:tc>
          <w:tcPr>
            <w:tcW w:w="853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</w:p>
        </w:tc>
        <w:tc>
          <w:tcPr>
            <w:tcW w:w="4229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Totals</w:t>
            </w:r>
          </w:p>
        </w:tc>
        <w:tc>
          <w:tcPr>
            <w:tcW w:w="101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267.8</w:t>
            </w:r>
          </w:p>
        </w:tc>
        <w:tc>
          <w:tcPr>
            <w:tcW w:w="1421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151.1</w:t>
            </w:r>
          </w:p>
        </w:tc>
        <w:tc>
          <w:tcPr>
            <w:tcW w:w="1342" w:type="dxa"/>
            <w:shd w:val="clear" w:color="auto" w:fill="auto"/>
          </w:tcPr>
          <w:p w:rsidR="00EA1B6D" w:rsidRPr="00DA4EE2" w:rsidRDefault="00EA1B6D" w:rsidP="001977CB">
            <w:pPr>
              <w:pStyle w:val="TableEntry"/>
              <w:spacing w:before="60"/>
              <w:rPr>
                <w:rFonts w:cs="Arial"/>
                <w:sz w:val="20"/>
              </w:rPr>
            </w:pPr>
            <w:r w:rsidRPr="00DA4EE2">
              <w:rPr>
                <w:rFonts w:cs="Arial"/>
                <w:sz w:val="20"/>
              </w:rPr>
              <w:t>116.7</w:t>
            </w:r>
          </w:p>
        </w:tc>
      </w:tr>
    </w:tbl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Use the dat</w:t>
      </w:r>
      <w:r w:rsidR="00AF1C45">
        <w:rPr>
          <w:rFonts w:ascii="Arial" w:hAnsi="Arial" w:cs="Arial"/>
          <w:sz w:val="20"/>
        </w:rPr>
        <w:t>a</w:t>
      </w:r>
      <w:r w:rsidRPr="00DA4EE2">
        <w:rPr>
          <w:rFonts w:ascii="Arial" w:hAnsi="Arial" w:cs="Arial"/>
          <w:sz w:val="20"/>
        </w:rPr>
        <w:t xml:space="preserve"> in </w:t>
      </w:r>
      <w:r w:rsidR="002D76A9">
        <w:rPr>
          <w:rFonts w:ascii="Arial" w:hAnsi="Arial" w:cs="Arial"/>
          <w:sz w:val="20"/>
        </w:rPr>
        <w:t>the</w:t>
      </w:r>
      <w:r w:rsidR="002D76A9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table </w:t>
      </w:r>
      <w:r w:rsidR="002D76A9">
        <w:rPr>
          <w:rFonts w:ascii="Arial" w:hAnsi="Arial" w:cs="Arial"/>
          <w:sz w:val="20"/>
        </w:rPr>
        <w:t xml:space="preserve">above </w:t>
      </w:r>
      <w:r w:rsidRPr="00DA4EE2">
        <w:rPr>
          <w:rFonts w:ascii="Arial" w:hAnsi="Arial" w:cs="Arial"/>
          <w:sz w:val="20"/>
        </w:rPr>
        <w:t>and answer the following questions</w:t>
      </w:r>
      <w:r w:rsidR="00587A7A">
        <w:rPr>
          <w:rFonts w:ascii="Arial" w:hAnsi="Arial" w:cs="Arial"/>
          <w:sz w:val="20"/>
        </w:rPr>
        <w:t xml:space="preserve"> in the space provided below: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What are the sources of value-added and non-value-added work in this process?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Where are the </w:t>
      </w:r>
      <w:r w:rsidR="007D2BE4">
        <w:rPr>
          <w:rFonts w:ascii="Arial" w:hAnsi="Arial" w:cs="Arial"/>
          <w:sz w:val="20"/>
        </w:rPr>
        <w:t xml:space="preserve">main </w:t>
      </w:r>
      <w:r w:rsidRPr="00DA4EE2">
        <w:rPr>
          <w:rFonts w:ascii="Arial" w:hAnsi="Arial" w:cs="Arial"/>
          <w:sz w:val="20"/>
        </w:rPr>
        <w:t>opportunities to improve the cycle time of this process, with respect to both actual time used and the potential best times? What strategy would you use?</w:t>
      </w:r>
    </w:p>
    <w:p w:rsidR="002D2FC7" w:rsidRPr="00DA4EE2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Step 10</w:t>
      </w:r>
      <w:r w:rsidR="002D76A9">
        <w:rPr>
          <w:rFonts w:ascii="Arial" w:hAnsi="Arial" w:cs="Arial"/>
          <w:sz w:val="20"/>
        </w:rPr>
        <w:t>:</w:t>
      </w:r>
      <w:r w:rsidR="002D76A9" w:rsidRPr="00DA4EE2">
        <w:rPr>
          <w:rFonts w:ascii="Arial" w:hAnsi="Arial" w:cs="Arial"/>
          <w:sz w:val="20"/>
        </w:rPr>
        <w:t xml:space="preserve"> </w:t>
      </w:r>
      <w:r w:rsidR="002D76A9">
        <w:rPr>
          <w:rFonts w:ascii="Arial" w:hAnsi="Arial" w:cs="Arial"/>
          <w:sz w:val="20"/>
        </w:rPr>
        <w:t>R</w:t>
      </w:r>
      <w:r w:rsidR="002D76A9" w:rsidRPr="00DA4EE2">
        <w:rPr>
          <w:rFonts w:ascii="Arial" w:hAnsi="Arial" w:cs="Arial"/>
          <w:sz w:val="20"/>
        </w:rPr>
        <w:t>esolv</w:t>
      </w:r>
      <w:r w:rsidR="002D76A9">
        <w:rPr>
          <w:rFonts w:ascii="Arial" w:hAnsi="Arial" w:cs="Arial"/>
          <w:sz w:val="20"/>
        </w:rPr>
        <w:t>e</w:t>
      </w:r>
      <w:r w:rsidR="002D76A9" w:rsidRPr="00DA4EE2">
        <w:rPr>
          <w:rFonts w:ascii="Arial" w:hAnsi="Arial" w:cs="Arial"/>
          <w:sz w:val="20"/>
        </w:rPr>
        <w:t xml:space="preserve"> Open Issues</w:t>
      </w:r>
      <w:r w:rsidRPr="00DA4EE2">
        <w:rPr>
          <w:rFonts w:ascii="Arial" w:hAnsi="Arial" w:cs="Arial"/>
          <w:sz w:val="20"/>
        </w:rPr>
        <w:t xml:space="preserve"> required 104 hours (potential) versus 106 hours (actual). Is there an OFI here? Why or why not? If so, how would you attack it?</w:t>
      </w:r>
    </w:p>
    <w:p w:rsidR="002D76A9" w:rsidRPr="007D2BE4" w:rsidRDefault="002D2FC7" w:rsidP="002D2FC7">
      <w:pPr>
        <w:pStyle w:val="ListBulleted"/>
        <w:numPr>
          <w:ilvl w:val="0"/>
          <w:numId w:val="19"/>
        </w:numPr>
        <w:spacing w:before="60" w:after="60"/>
        <w:contextualSpacing w:val="0"/>
        <w:rPr>
          <w:rFonts w:cs="Arial"/>
          <w:sz w:val="20"/>
        </w:rPr>
      </w:pPr>
      <w:r w:rsidRPr="007D2BE4">
        <w:rPr>
          <w:rFonts w:ascii="Arial" w:hAnsi="Arial" w:cs="Arial"/>
          <w:sz w:val="20"/>
        </w:rPr>
        <w:t>What do you think are the most difficult critical issues to deal with when designing a sound cycle time study such as this one?</w:t>
      </w:r>
    </w:p>
    <w:p w:rsidR="002D2FC7" w:rsidRPr="00DA4EE2" w:rsidRDefault="002D2FC7" w:rsidP="002D2FC7">
      <w:pPr>
        <w:pStyle w:val="ParaNumbered"/>
        <w:spacing w:before="60" w:after="60"/>
        <w:ind w:left="360" w:firstLine="0"/>
        <w:rPr>
          <w:rFonts w:ascii="Arial" w:hAnsi="Arial" w:cs="Arial"/>
          <w:sz w:val="20"/>
        </w:rPr>
      </w:pPr>
    </w:p>
    <w:p w:rsidR="002B7B85" w:rsidRDefault="002B7B85" w:rsidP="002B7B85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>in Week 3 of</w:t>
      </w:r>
      <w:r>
        <w:rPr>
          <w:rFonts w:ascii="Arial" w:hAnsi="Arial" w:cs="Arial"/>
          <w:b/>
          <w:sz w:val="20"/>
        </w:rPr>
        <w:t xml:space="preserve"> the online course shell:</w:t>
      </w:r>
    </w:p>
    <w:p w:rsidR="00252AF5" w:rsidRDefault="00252AF5" w:rsidP="001E5073">
      <w:pPr>
        <w:spacing w:after="200" w:line="276" w:lineRule="auto"/>
        <w:ind w:left="720"/>
        <w:rPr>
          <w:rFonts w:ascii="Arial" w:eastAsia="Times New Roman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z w:val="20"/>
        </w:rPr>
        <w:br w:type="page"/>
      </w:r>
      <w:bookmarkStart w:id="0" w:name="_GoBack"/>
      <w:bookmarkEnd w:id="0"/>
    </w:p>
    <w:sectPr w:rsidR="00252AF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43" w:rsidRDefault="00445043" w:rsidP="0038021A">
      <w:r>
        <w:separator/>
      </w:r>
    </w:p>
  </w:endnote>
  <w:endnote w:type="continuationSeparator" w:id="0">
    <w:p w:rsidR="00445043" w:rsidRDefault="00445043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43" w:rsidRDefault="00445043" w:rsidP="0038021A">
      <w:r>
        <w:separator/>
      </w:r>
    </w:p>
  </w:footnote>
  <w:footnote w:type="continuationSeparator" w:id="0">
    <w:p w:rsidR="00445043" w:rsidRDefault="00445043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  <w:lang w:eastAsia="zh-CN"/>
            </w:rPr>
            <w:drawing>
              <wp:inline distT="0" distB="0" distL="0" distR="0" wp14:anchorId="10F705F9" wp14:editId="6FACDA70">
                <wp:extent cx="1295400" cy="400050"/>
                <wp:effectExtent l="0" t="0" r="0" b="0"/>
                <wp:docPr id="3" name="Picture 3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45043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47778"/>
    <w:rsid w:val="0078235E"/>
    <w:rsid w:val="007D2BE4"/>
    <w:rsid w:val="00813A31"/>
    <w:rsid w:val="008231FC"/>
    <w:rsid w:val="008263F9"/>
    <w:rsid w:val="00832D3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73180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A75EF"/>
    <w:rsid w:val="00BB6406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Red</cp:lastModifiedBy>
  <cp:revision>3</cp:revision>
  <dcterms:created xsi:type="dcterms:W3CDTF">2014-11-25T14:58:00Z</dcterms:created>
  <dcterms:modified xsi:type="dcterms:W3CDTF">2014-11-25T14:58:00Z</dcterms:modified>
</cp:coreProperties>
</file>